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FB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稻芽配方颗粒</w:t>
      </w:r>
    </w:p>
    <w:p w14:paraId="420154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sz w:val="24"/>
          <w:szCs w:val="24"/>
          <w:lang w:val="en-US" w:eastAsia="zh-CN"/>
        </w:rPr>
        <w:t>Daoya Peifangkeli</w:t>
      </w:r>
    </w:p>
    <w:p w14:paraId="62FC1DD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p>
    <w:p w14:paraId="69D3BA75">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【来源】</w:t>
      </w:r>
      <w:r>
        <w:rPr>
          <w:rFonts w:hint="default" w:ascii="Times New Roman" w:hAnsi="Times New Roman" w:eastAsia="宋体" w:cs="Times New Roman"/>
          <w:sz w:val="21"/>
          <w:szCs w:val="21"/>
        </w:rPr>
        <w:t xml:space="preserve"> 本品为禾本科植物稻</w:t>
      </w:r>
      <w:r>
        <w:rPr>
          <w:rFonts w:hint="default" w:ascii="Times New Roman" w:hAnsi="Times New Roman" w:eastAsia="宋体" w:cs="Times New Roman"/>
          <w:i/>
          <w:iCs/>
          <w:sz w:val="21"/>
          <w:szCs w:val="21"/>
        </w:rPr>
        <w:t>Oryza sativa</w:t>
      </w:r>
      <w:r>
        <w:rPr>
          <w:rFonts w:hint="default" w:ascii="Times New Roman" w:hAnsi="Times New Roman" w:eastAsia="宋体" w:cs="Times New Roman"/>
          <w:sz w:val="21"/>
          <w:szCs w:val="21"/>
        </w:rPr>
        <w:t xml:space="preserve"> L.的成熟果实经发芽干燥的炮制加工品并按标准汤剂的主要质量指标加工制成的配方颗粒。</w:t>
      </w:r>
    </w:p>
    <w:p w14:paraId="49087F5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【制法】</w:t>
      </w:r>
      <w:r>
        <w:rPr>
          <w:rFonts w:hint="default" w:ascii="Times New Roman" w:hAnsi="Times New Roman" w:eastAsia="宋体" w:cs="Times New Roman"/>
          <w:sz w:val="21"/>
          <w:szCs w:val="21"/>
        </w:rPr>
        <w:t xml:space="preserve"> 取稻芽饮片8000g，加水煎煮，滤过，滤液浓缩成清膏（干浸膏出膏率为6.3%~12.5%），加入辅料适量，干燥（或干燥，粉碎），再加入辅料适量，混匀，制粒，制成1000g，即得。</w:t>
      </w:r>
    </w:p>
    <w:p w14:paraId="6EE95AF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【性状】</w:t>
      </w:r>
      <w:r>
        <w:rPr>
          <w:rFonts w:hint="default" w:ascii="Times New Roman" w:hAnsi="Times New Roman" w:eastAsia="宋体" w:cs="Times New Roman"/>
          <w:sz w:val="21"/>
          <w:szCs w:val="21"/>
        </w:rPr>
        <w:t xml:space="preserve"> 本品为黄白色至黄色颗粒；气微，味淡。</w:t>
      </w:r>
    </w:p>
    <w:p w14:paraId="5E9BF430">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【鉴别】</w:t>
      </w:r>
      <w:r>
        <w:rPr>
          <w:rFonts w:hint="default" w:ascii="Times New Roman" w:hAnsi="Times New Roman" w:eastAsia="宋体" w:cs="Times New Roman"/>
          <w:sz w:val="21"/>
          <w:szCs w:val="21"/>
        </w:rPr>
        <w:t xml:space="preserve"> 取本品1g，研细，加水60ml、盐酸10ml，加热回流2小时，放冷，用乙酸乙酯振摇提取2次，每次40ml，合并乙酸乙酯液，蒸干，残渣加甲醇2ml使溶解，作为供试品溶液。另取稻芽对照药材4g，加水100ml，煎煮30分钟，滤过，滤液浓缩至约60ml，加盐酸10ml，自</w:t>
      </w:r>
      <w:r>
        <w:rPr>
          <w:rFonts w:hint="eastAsia" w:cs="Times New Roman"/>
          <w:sz w:val="21"/>
          <w:szCs w:val="21"/>
          <w:lang w:eastAsia="zh-CN"/>
        </w:rPr>
        <w:t>“</w:t>
      </w:r>
      <w:r>
        <w:rPr>
          <w:rFonts w:hint="default" w:ascii="Times New Roman" w:hAnsi="Times New Roman" w:eastAsia="宋体" w:cs="Times New Roman"/>
          <w:sz w:val="21"/>
          <w:szCs w:val="21"/>
        </w:rPr>
        <w:t>加热回流2小时</w:t>
      </w:r>
      <w:r>
        <w:rPr>
          <w:rFonts w:hint="eastAsia" w:cs="Times New Roman"/>
          <w:sz w:val="21"/>
          <w:szCs w:val="21"/>
          <w:lang w:eastAsia="zh-CN"/>
        </w:rPr>
        <w:t>”</w:t>
      </w:r>
      <w:r>
        <w:rPr>
          <w:rFonts w:hint="default" w:ascii="Times New Roman" w:hAnsi="Times New Roman" w:eastAsia="宋体" w:cs="Times New Roman"/>
          <w:sz w:val="21"/>
          <w:szCs w:val="21"/>
        </w:rPr>
        <w:t>起，同法制成对照药材溶液。照薄层色谱法（中国药典2020年版通则0502）试验，吸取对照药材溶液10μl，供试品溶液15μl，分别点于同一硅胶GF</w:t>
      </w:r>
      <w:r>
        <w:rPr>
          <w:rFonts w:hint="default" w:ascii="Times New Roman" w:hAnsi="Times New Roman" w:eastAsia="宋体" w:cs="Times New Roman"/>
          <w:sz w:val="21"/>
          <w:szCs w:val="21"/>
          <w:vertAlign w:val="subscript"/>
        </w:rPr>
        <w:t>254</w:t>
      </w:r>
      <w:r>
        <w:rPr>
          <w:rFonts w:hint="default" w:ascii="Times New Roman" w:hAnsi="Times New Roman" w:eastAsia="宋体" w:cs="Times New Roman"/>
          <w:sz w:val="21"/>
          <w:szCs w:val="21"/>
        </w:rPr>
        <w:t>薄层板上，以环己烷-乙酸乙酯-甲酸（5</w:t>
      </w:r>
      <w:r>
        <w:rPr>
          <w:rFonts w:hint="eastAsia" w:cs="Times New Roman"/>
          <w:sz w:val="21"/>
          <w:szCs w:val="21"/>
          <w:lang w:eastAsia="zh-CN"/>
        </w:rPr>
        <w:t>∶</w:t>
      </w:r>
      <w:r>
        <w:rPr>
          <w:rFonts w:hint="default" w:ascii="Times New Roman" w:hAnsi="Times New Roman" w:eastAsia="宋体" w:cs="Times New Roman"/>
          <w:sz w:val="21"/>
          <w:szCs w:val="21"/>
        </w:rPr>
        <w:t>5</w:t>
      </w:r>
      <w:r>
        <w:rPr>
          <w:rFonts w:hint="eastAsia" w:cs="Times New Roman"/>
          <w:sz w:val="21"/>
          <w:szCs w:val="21"/>
          <w:lang w:eastAsia="zh-CN"/>
        </w:rPr>
        <w:t>∶</w:t>
      </w:r>
      <w:r>
        <w:rPr>
          <w:rFonts w:hint="default" w:ascii="Times New Roman" w:hAnsi="Times New Roman" w:eastAsia="宋体" w:cs="Times New Roman"/>
          <w:sz w:val="21"/>
          <w:szCs w:val="21"/>
        </w:rPr>
        <w:t>0.2）为展开剂，展开，取出，晾干，置紫外光灯（254nm）下检视。供试品色谱中，在与对照药材色谱相应的位置上，显相同颜色的斑点。</w:t>
      </w:r>
    </w:p>
    <w:p w14:paraId="0188F90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【特征图谱】</w:t>
      </w:r>
      <w:r>
        <w:rPr>
          <w:rFonts w:hint="default" w:ascii="Times New Roman" w:hAnsi="Times New Roman" w:eastAsia="宋体" w:cs="Times New Roman"/>
          <w:sz w:val="21"/>
          <w:szCs w:val="21"/>
        </w:rPr>
        <w:t xml:space="preserve"> 照高效液相色谱法（中国药典2020年版通则0512）测定。</w:t>
      </w:r>
    </w:p>
    <w:p w14:paraId="38A283C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色谱条件与系统适用性试验</w:t>
      </w:r>
      <w:r>
        <w:rPr>
          <w:rFonts w:hint="default" w:ascii="Times New Roman" w:hAnsi="Times New Roman" w:eastAsia="宋体" w:cs="Times New Roman"/>
          <w:sz w:val="21"/>
          <w:szCs w:val="21"/>
        </w:rPr>
        <w:t xml:space="preserve"> 以十八烷基硅烷键合硅胶为填充剂（柱长为250mm，内径为4.6mm，粒径为5μm）；以乙腈为流动相A，以0.5%乙酸溶液为流动相B，按下表中的规定进行梯度洗脱；流速为每分钟1.0ml；柱温为30℃；检测波长为300nm。理论板数按4-香豆酸峰计算应不低于6000。</w:t>
      </w:r>
    </w:p>
    <w:tbl>
      <w:tblPr>
        <w:tblStyle w:val="9"/>
        <w:tblW w:w="478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0"/>
        <w:gridCol w:w="2720"/>
        <w:gridCol w:w="2721"/>
      </w:tblGrid>
      <w:tr w14:paraId="0094148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single" w:color="auto" w:sz="12" w:space="0"/>
              <w:bottom w:val="single" w:color="auto" w:sz="4" w:space="0"/>
            </w:tcBorders>
            <w:vAlign w:val="center"/>
          </w:tcPr>
          <w:p w14:paraId="61613E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时间（分钟）</w:t>
            </w:r>
          </w:p>
        </w:tc>
        <w:tc>
          <w:tcPr>
            <w:tcW w:w="1666" w:type="pct"/>
            <w:tcBorders>
              <w:top w:val="single" w:color="auto" w:sz="12" w:space="0"/>
              <w:bottom w:val="single" w:color="auto" w:sz="4" w:space="0"/>
            </w:tcBorders>
            <w:vAlign w:val="center"/>
          </w:tcPr>
          <w:p w14:paraId="0599C4E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流动相A（%）</w:t>
            </w:r>
          </w:p>
        </w:tc>
        <w:tc>
          <w:tcPr>
            <w:tcW w:w="1666" w:type="pct"/>
            <w:tcBorders>
              <w:top w:val="single" w:color="auto" w:sz="12" w:space="0"/>
              <w:bottom w:val="single" w:color="auto" w:sz="4" w:space="0"/>
            </w:tcBorders>
            <w:vAlign w:val="center"/>
          </w:tcPr>
          <w:p w14:paraId="36712C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流动相B（%）</w:t>
            </w:r>
          </w:p>
        </w:tc>
      </w:tr>
      <w:tr w14:paraId="7CEF679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nil"/>
              <w:bottom w:val="nil"/>
            </w:tcBorders>
            <w:vAlign w:val="center"/>
          </w:tcPr>
          <w:p w14:paraId="03D364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rPr>
              <w:t>15</w:t>
            </w:r>
          </w:p>
        </w:tc>
        <w:tc>
          <w:tcPr>
            <w:tcW w:w="1666" w:type="pct"/>
            <w:vAlign w:val="center"/>
          </w:tcPr>
          <w:p w14:paraId="2D5C208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5→10</w:t>
            </w:r>
          </w:p>
        </w:tc>
        <w:tc>
          <w:tcPr>
            <w:tcW w:w="1666" w:type="pct"/>
            <w:vAlign w:val="center"/>
          </w:tcPr>
          <w:p w14:paraId="6C11D6C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95→90</w:t>
            </w:r>
          </w:p>
        </w:tc>
      </w:tr>
      <w:tr w14:paraId="5353DB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nil"/>
              <w:bottom w:val="nil"/>
            </w:tcBorders>
            <w:vAlign w:val="center"/>
          </w:tcPr>
          <w:p w14:paraId="1C7B2F6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15～17</w:t>
            </w:r>
          </w:p>
        </w:tc>
        <w:tc>
          <w:tcPr>
            <w:tcW w:w="1666" w:type="pct"/>
            <w:tcBorders>
              <w:bottom w:val="nil"/>
            </w:tcBorders>
            <w:vAlign w:val="center"/>
          </w:tcPr>
          <w:p w14:paraId="0FF2F7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10→14</w:t>
            </w:r>
          </w:p>
        </w:tc>
        <w:tc>
          <w:tcPr>
            <w:tcW w:w="1666" w:type="pct"/>
            <w:tcBorders>
              <w:bottom w:val="nil"/>
            </w:tcBorders>
            <w:vAlign w:val="center"/>
          </w:tcPr>
          <w:p w14:paraId="791BD2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90→86</w:t>
            </w:r>
          </w:p>
        </w:tc>
      </w:tr>
      <w:tr w14:paraId="593DA83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nil"/>
              <w:bottom w:val="single" w:color="auto" w:sz="12" w:space="0"/>
            </w:tcBorders>
            <w:vAlign w:val="center"/>
          </w:tcPr>
          <w:p w14:paraId="61B891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17～45</w:t>
            </w:r>
          </w:p>
        </w:tc>
        <w:tc>
          <w:tcPr>
            <w:tcW w:w="1666" w:type="pct"/>
            <w:tcBorders>
              <w:top w:val="nil"/>
              <w:bottom w:val="single" w:color="auto" w:sz="12" w:space="0"/>
            </w:tcBorders>
            <w:vAlign w:val="center"/>
          </w:tcPr>
          <w:p w14:paraId="2C2C1D8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14→20</w:t>
            </w:r>
          </w:p>
        </w:tc>
        <w:tc>
          <w:tcPr>
            <w:tcW w:w="1666" w:type="pct"/>
            <w:tcBorders>
              <w:top w:val="nil"/>
              <w:bottom w:val="single" w:color="auto" w:sz="12" w:space="0"/>
            </w:tcBorders>
            <w:vAlign w:val="center"/>
          </w:tcPr>
          <w:p w14:paraId="2F25320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86→80</w:t>
            </w:r>
          </w:p>
        </w:tc>
      </w:tr>
    </w:tbl>
    <w:p w14:paraId="2066538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参照物溶液的制备</w:t>
      </w:r>
      <w:r>
        <w:rPr>
          <w:rFonts w:hint="default" w:ascii="Times New Roman" w:hAnsi="Times New Roman" w:eastAsia="宋体" w:cs="Times New Roman"/>
          <w:sz w:val="21"/>
          <w:szCs w:val="21"/>
        </w:rPr>
        <w:t xml:space="preserve"> 取稻芽对照药材2g，</w:t>
      </w:r>
      <w:r>
        <w:rPr>
          <w:rFonts w:hint="default" w:ascii="Times New Roman" w:hAnsi="Times New Roman" w:eastAsia="宋体" w:cs="Times New Roman"/>
          <w:sz w:val="21"/>
          <w:szCs w:val="21"/>
        </w:rPr>
        <w:t>加</w:t>
      </w:r>
      <w:r>
        <w:rPr>
          <w:rFonts w:hint="default" w:ascii="Times New Roman" w:hAnsi="Times New Roman" w:eastAsia="宋体" w:cs="Times New Roman"/>
          <w:sz w:val="21"/>
          <w:szCs w:val="21"/>
        </w:rPr>
        <w:t>水5</w:t>
      </w:r>
      <w:r>
        <w:rPr>
          <w:rFonts w:hint="default" w:ascii="Times New Roman" w:hAnsi="Times New Roman" w:eastAsia="宋体" w:cs="Times New Roman"/>
          <w:sz w:val="21"/>
          <w:szCs w:val="21"/>
        </w:rPr>
        <w:t>0ml，加热回流</w:t>
      </w:r>
      <w:r>
        <w:rPr>
          <w:rFonts w:hint="default" w:ascii="Times New Roman" w:hAnsi="Times New Roman" w:eastAsia="宋体" w:cs="Times New Roman"/>
          <w:sz w:val="21"/>
          <w:szCs w:val="21"/>
        </w:rPr>
        <w:t>30分钟，滤过，滤液蒸干，残渣加70%甲醇10ml，</w:t>
      </w:r>
      <w:r>
        <w:rPr>
          <w:rFonts w:hint="default" w:ascii="Times New Roman" w:hAnsi="Times New Roman" w:eastAsia="宋体" w:cs="Times New Roman"/>
          <w:sz w:val="21"/>
          <w:szCs w:val="21"/>
        </w:rPr>
        <w:t>超声处理（功率600W，频率40kHz）</w:t>
      </w:r>
      <w:r>
        <w:rPr>
          <w:rFonts w:hint="default" w:ascii="Times New Roman" w:hAnsi="Times New Roman" w:eastAsia="宋体" w:cs="Times New Roman"/>
          <w:sz w:val="21"/>
          <w:szCs w:val="21"/>
        </w:rPr>
        <w:t>15</w:t>
      </w:r>
      <w:r>
        <w:rPr>
          <w:rFonts w:hint="default" w:ascii="Times New Roman" w:hAnsi="Times New Roman" w:eastAsia="宋体" w:cs="Times New Roman"/>
          <w:sz w:val="21"/>
          <w:szCs w:val="21"/>
        </w:rPr>
        <w:t>分钟，放冷，摇匀，滤过，取续滤液，作为对照药材参照物溶液</w:t>
      </w:r>
      <w:r>
        <w:rPr>
          <w:rFonts w:hint="default" w:ascii="Times New Roman" w:hAnsi="Times New Roman" w:eastAsia="宋体" w:cs="Times New Roman"/>
          <w:sz w:val="21"/>
          <w:szCs w:val="21"/>
        </w:rPr>
        <w:t>。另取</w:t>
      </w:r>
      <w:r>
        <w:rPr>
          <w:rFonts w:hint="eastAsia" w:cs="Times New Roman"/>
          <w:sz w:val="21"/>
          <w:szCs w:val="21"/>
          <w:lang w:eastAsia="zh-CN"/>
        </w:rPr>
        <w:t>【含量测定】</w:t>
      </w:r>
      <w:r>
        <w:rPr>
          <w:rFonts w:hint="default" w:ascii="Times New Roman" w:hAnsi="Times New Roman" w:eastAsia="宋体" w:cs="Times New Roman"/>
          <w:sz w:val="21"/>
          <w:szCs w:val="21"/>
        </w:rPr>
        <w:t>项下的对照品溶液，作为对照品参照物溶液。</w:t>
      </w:r>
    </w:p>
    <w:p w14:paraId="3F64C77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供试品溶液的制备</w:t>
      </w:r>
      <w:r>
        <w:rPr>
          <w:rFonts w:hint="default" w:ascii="Times New Roman" w:hAnsi="Times New Roman" w:eastAsia="宋体" w:cs="Times New Roman"/>
          <w:sz w:val="21"/>
          <w:szCs w:val="21"/>
        </w:rPr>
        <w:t xml:space="preserve"> 取本品适量，研细，取</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t>g，置具塞锥形瓶中，加</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0%甲醇25ml，超声处理（功率600W，频率40kHz）30分钟，放冷，摇匀，滤过，取续滤液，即得。</w:t>
      </w:r>
    </w:p>
    <w:p w14:paraId="12E7AA16">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default" w:ascii="Times New Roman" w:hAnsi="Times New Roman" w:eastAsia="宋体" w:cs="Times New Roman"/>
          <w:sz w:val="21"/>
          <w:szCs w:val="21"/>
        </w:rPr>
        <w:t xml:space="preserve"> 分别精密吸取参照物溶液与供试品溶液各10μl，注入液相色谱仪，测定，即得。</w:t>
      </w:r>
    </w:p>
    <w:p w14:paraId="02D70362">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供试品色谱中应呈现</w:t>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t>个特征峰，并应与对照药材参照物色谱中的</w:t>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t>个特征峰保留时间相对应</w:t>
      </w:r>
      <w:r>
        <w:rPr>
          <w:rFonts w:hint="default" w:ascii="Times New Roman" w:hAnsi="Times New Roman" w:eastAsia="宋体" w:cs="Times New Roman"/>
          <w:sz w:val="21"/>
          <w:szCs w:val="21"/>
        </w:rPr>
        <w:t>，其中峰7应与对照品参照物峰的保留时间相对应。</w:t>
      </w:r>
      <w:r>
        <w:rPr>
          <w:rFonts w:hint="default" w:ascii="Times New Roman" w:hAnsi="Times New Roman" w:eastAsia="宋体" w:cs="Times New Roman"/>
          <w:sz w:val="21"/>
          <w:szCs w:val="21"/>
        </w:rPr>
        <w:t>与</w:t>
      </w:r>
      <w:r>
        <w:rPr>
          <w:rFonts w:hint="default" w:ascii="Times New Roman" w:hAnsi="Times New Roman" w:eastAsia="宋体" w:cs="Times New Roman"/>
          <w:sz w:val="21"/>
          <w:szCs w:val="21"/>
        </w:rPr>
        <w:t>4-香豆酸对照品</w:t>
      </w:r>
      <w:r>
        <w:rPr>
          <w:rFonts w:hint="default" w:ascii="Times New Roman" w:hAnsi="Times New Roman" w:eastAsia="宋体" w:cs="Times New Roman"/>
          <w:sz w:val="21"/>
          <w:szCs w:val="21"/>
        </w:rPr>
        <w:t>参照物峰相对应的峰为S峰，计算</w:t>
      </w:r>
      <w:r>
        <w:rPr>
          <w:rFonts w:hint="default" w:ascii="Times New Roman" w:hAnsi="Times New Roman" w:eastAsia="宋体" w:cs="Times New Roman"/>
          <w:sz w:val="21"/>
          <w:szCs w:val="21"/>
        </w:rPr>
        <w:t>各</w:t>
      </w:r>
      <w:r>
        <w:rPr>
          <w:rFonts w:hint="default" w:ascii="Times New Roman" w:hAnsi="Times New Roman" w:eastAsia="宋体" w:cs="Times New Roman"/>
          <w:sz w:val="21"/>
          <w:szCs w:val="21"/>
        </w:rPr>
        <w:t>特征峰与S峰的相对保留时间</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其相对保留时间应在规定值的±10％范围之内</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规定值</w:t>
      </w:r>
      <w:r>
        <w:rPr>
          <w:rFonts w:hint="default" w:ascii="Times New Roman" w:hAnsi="Times New Roman" w:eastAsia="宋体" w:cs="Times New Roman"/>
          <w:sz w:val="21"/>
          <w:szCs w:val="21"/>
        </w:rPr>
        <w:t>为</w:t>
      </w:r>
      <w:r>
        <w:rPr>
          <w:rFonts w:hint="eastAsia" w:cs="Times New Roman"/>
          <w:sz w:val="21"/>
          <w:szCs w:val="21"/>
          <w:lang w:eastAsia="zh-CN"/>
        </w:rPr>
        <w:t>∶</w:t>
      </w:r>
      <w:r>
        <w:rPr>
          <w:rFonts w:hint="default" w:ascii="Times New Roman" w:hAnsi="Times New Roman" w:eastAsia="宋体" w:cs="Times New Roman"/>
          <w:sz w:val="21"/>
          <w:szCs w:val="21"/>
        </w:rPr>
        <w:t>0</w:t>
      </w:r>
      <w:r>
        <w:rPr>
          <w:rFonts w:hint="default" w:ascii="Times New Roman" w:hAnsi="Times New Roman" w:eastAsia="宋体" w:cs="Times New Roman"/>
          <w:sz w:val="21"/>
          <w:szCs w:val="21"/>
        </w:rPr>
        <w:t>.21（峰1）、0.28（峰2）、0.3</w:t>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t>）、0.7</w:t>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t>）、0.7</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t>）、0.90（峰</w:t>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1.12</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t>）。</w:t>
      </w:r>
    </w:p>
    <w:p w14:paraId="1987AAE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5257800" cy="1905000"/>
            <wp:effectExtent l="19050" t="0" r="0" b="0"/>
            <wp:docPr id="1" name="图片 1" descr="Z:\2021配方颗粒国标省标公关共享资料\3质量标准组文件夹\稻芽\药材颗粒标汤\特征方法学\中试验证\提取物-粉-制粒-成品\对照特征图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Z:\2021配方颗粒国标省标公关共享资料\3质量标准组文件夹\稻芽\药材颗粒标汤\特征方法学\中试验证\提取物-粉-制粒-成品\对照特征图谱.bmp"/>
                    <pic:cNvPicPr>
                      <a:picLocks noChangeAspect="1" noChangeArrowheads="1"/>
                    </pic:cNvPicPr>
                  </pic:nvPicPr>
                  <pic:blipFill>
                    <a:blip r:embed="rId6" cstate="print"/>
                    <a:srcRect/>
                    <a:stretch>
                      <a:fillRect/>
                    </a:stretch>
                  </pic:blipFill>
                  <pic:spPr>
                    <a:xfrm>
                      <a:off x="0" y="0"/>
                      <a:ext cx="5257800" cy="1905000"/>
                    </a:xfrm>
                    <a:prstGeom prst="rect">
                      <a:avLst/>
                    </a:prstGeom>
                    <a:noFill/>
                    <a:ln w="9525">
                      <a:noFill/>
                      <a:miter lim="800000"/>
                      <a:headEnd/>
                      <a:tailEnd/>
                    </a:ln>
                  </pic:spPr>
                </pic:pic>
              </a:graphicData>
            </a:graphic>
          </wp:inline>
        </w:drawing>
      </w:r>
    </w:p>
    <w:p w14:paraId="6FEF0A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bookmarkStart w:id="0" w:name="_GoBack"/>
      <w:bookmarkEnd w:id="0"/>
    </w:p>
    <w:p w14:paraId="6F09FB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18"/>
          <w:szCs w:val="18"/>
          <w:lang w:eastAsia="zh-CN"/>
        </w:rPr>
      </w:pPr>
      <w:r>
        <w:rPr>
          <w:rFonts w:hint="default" w:ascii="Times New Roman" w:hAnsi="Times New Roman" w:eastAsia="宋体" w:cs="Times New Roman"/>
          <w:color w:val="auto"/>
          <w:kern w:val="2"/>
          <w:sz w:val="18"/>
          <w:szCs w:val="18"/>
          <w:lang w:eastAsia="zh-CN"/>
        </w:rPr>
        <w:t>峰7(S)</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4-香豆酸；峰8</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阿魏酸</w:t>
      </w:r>
    </w:p>
    <w:p w14:paraId="7DE19C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18"/>
          <w:szCs w:val="18"/>
          <w:lang w:eastAsia="zh-CN"/>
        </w:rPr>
      </w:pPr>
      <w:r>
        <w:rPr>
          <w:rFonts w:hint="default" w:ascii="Times New Roman" w:hAnsi="Times New Roman" w:eastAsia="宋体" w:cs="Times New Roman"/>
          <w:color w:val="auto"/>
          <w:kern w:val="2"/>
          <w:sz w:val="18"/>
          <w:szCs w:val="18"/>
          <w:lang w:eastAsia="zh-CN"/>
        </w:rPr>
        <w:t>色谱柱</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Shim-pack GIST C18，4.6mm×250mm，5μm</w:t>
      </w:r>
    </w:p>
    <w:p w14:paraId="30318981">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【检查】</w:t>
      </w:r>
      <w:r>
        <w:rPr>
          <w:rFonts w:hint="default" w:ascii="Times New Roman" w:hAnsi="Times New Roman" w:eastAsia="宋体" w:cs="Times New Roman"/>
          <w:sz w:val="21"/>
          <w:szCs w:val="21"/>
        </w:rPr>
        <w:t xml:space="preserve"> 应符合颗粒剂项下有关的各项规定</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中国药典2020年版通则0104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w:t>
      </w:r>
    </w:p>
    <w:p w14:paraId="5B139A7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【浸出物】</w:t>
      </w:r>
      <w:r>
        <w:rPr>
          <w:rFonts w:hint="default" w:ascii="Times New Roman" w:hAnsi="Times New Roman" w:eastAsia="宋体" w:cs="Times New Roman"/>
          <w:sz w:val="21"/>
          <w:szCs w:val="21"/>
        </w:rPr>
        <w:t xml:space="preserve"> 照醇溶性浸出物测定法（中国药典2020年版通则2201）项下的热浸法测定，用乙醇作溶剂，不得少于</w:t>
      </w:r>
      <w:r>
        <w:rPr>
          <w:rFonts w:hint="default" w:ascii="Times New Roman" w:hAnsi="Times New Roman" w:eastAsia="宋体" w:cs="Times New Roman"/>
          <w:sz w:val="21"/>
          <w:szCs w:val="21"/>
        </w:rPr>
        <w:t>6.5</w:t>
      </w:r>
      <w:r>
        <w:rPr>
          <w:rFonts w:hint="default" w:ascii="Times New Roman" w:hAnsi="Times New Roman" w:eastAsia="宋体" w:cs="Times New Roman"/>
          <w:sz w:val="21"/>
          <w:szCs w:val="21"/>
        </w:rPr>
        <w:t>%。</w:t>
      </w:r>
    </w:p>
    <w:p w14:paraId="4AE6204C">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【含量测定】</w:t>
      </w:r>
      <w:r>
        <w:rPr>
          <w:rFonts w:hint="default" w:ascii="Times New Roman" w:hAnsi="Times New Roman" w:eastAsia="宋体" w:cs="Times New Roman"/>
          <w:sz w:val="21"/>
          <w:szCs w:val="21"/>
        </w:rPr>
        <w:t xml:space="preserve"> 照高效液相色谱法（中国药典2020年版通则0512）测定。</w:t>
      </w:r>
    </w:p>
    <w:p w14:paraId="12F4F88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色谱条件与系统适用性试验</w:t>
      </w:r>
      <w:r>
        <w:rPr>
          <w:rFonts w:hint="default" w:ascii="Times New Roman" w:hAnsi="Times New Roman" w:eastAsia="宋体" w:cs="Times New Roman"/>
          <w:sz w:val="21"/>
          <w:szCs w:val="21"/>
        </w:rPr>
        <w:t xml:space="preserve"> 以十八烷基硅烷键合硅胶为填充剂；以乙腈</w:t>
      </w:r>
      <w:r>
        <w:rPr>
          <w:rFonts w:hint="default" w:ascii="Times New Roman" w:hAnsi="Times New Roman" w:eastAsia="宋体" w:cs="Times New Roman"/>
          <w:sz w:val="21"/>
          <w:szCs w:val="21"/>
        </w:rPr>
        <w:t>-0.5%乙酸溶液（15∶85）为流动相</w:t>
      </w:r>
      <w:r>
        <w:rPr>
          <w:rFonts w:hint="default" w:ascii="Times New Roman" w:hAnsi="Times New Roman" w:eastAsia="宋体" w:cs="Times New Roman"/>
          <w:sz w:val="21"/>
          <w:szCs w:val="21"/>
        </w:rPr>
        <w:t>；检测波长为3</w:t>
      </w:r>
      <w:r>
        <w:rPr>
          <w:rFonts w:hint="default" w:ascii="Times New Roman" w:hAnsi="Times New Roman" w:eastAsia="宋体" w:cs="Times New Roman"/>
          <w:sz w:val="21"/>
          <w:szCs w:val="21"/>
        </w:rPr>
        <w:t>0</w:t>
      </w:r>
      <w:r>
        <w:rPr>
          <w:rFonts w:hint="default" w:ascii="Times New Roman" w:hAnsi="Times New Roman" w:eastAsia="宋体" w:cs="Times New Roman"/>
          <w:sz w:val="21"/>
          <w:szCs w:val="21"/>
        </w:rPr>
        <w:t>0nm。理论板数按</w:t>
      </w:r>
      <w:r>
        <w:rPr>
          <w:rFonts w:hint="default" w:ascii="Times New Roman" w:hAnsi="Times New Roman" w:eastAsia="宋体" w:cs="Times New Roman"/>
          <w:sz w:val="21"/>
          <w:szCs w:val="21"/>
        </w:rPr>
        <w:t>4-香豆酸</w:t>
      </w:r>
      <w:r>
        <w:rPr>
          <w:rFonts w:hint="default" w:ascii="Times New Roman" w:hAnsi="Times New Roman" w:eastAsia="宋体" w:cs="Times New Roman"/>
          <w:sz w:val="21"/>
          <w:szCs w:val="21"/>
        </w:rPr>
        <w:t>峰计算应不低于</w:t>
      </w:r>
      <w:r>
        <w:rPr>
          <w:rFonts w:hint="default" w:ascii="Times New Roman" w:hAnsi="Times New Roman" w:eastAsia="宋体" w:cs="Times New Roman"/>
          <w:sz w:val="21"/>
          <w:szCs w:val="21"/>
        </w:rPr>
        <w:t>5000</w:t>
      </w:r>
      <w:r>
        <w:rPr>
          <w:rFonts w:hint="default" w:ascii="Times New Roman" w:hAnsi="Times New Roman" w:eastAsia="宋体" w:cs="Times New Roman"/>
          <w:sz w:val="21"/>
          <w:szCs w:val="21"/>
        </w:rPr>
        <w:t>。</w:t>
      </w:r>
    </w:p>
    <w:p w14:paraId="75A14DE4">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对照品溶液的制备</w:t>
      </w:r>
      <w:r>
        <w:rPr>
          <w:rFonts w:hint="default" w:ascii="Times New Roman" w:hAnsi="Times New Roman" w:eastAsia="宋体" w:cs="Times New Roman"/>
          <w:sz w:val="21"/>
          <w:szCs w:val="21"/>
        </w:rPr>
        <w:t xml:space="preserve"> 取</w:t>
      </w:r>
      <w:r>
        <w:rPr>
          <w:rFonts w:hint="default" w:ascii="Times New Roman" w:hAnsi="Times New Roman" w:eastAsia="宋体" w:cs="Times New Roman"/>
          <w:sz w:val="21"/>
          <w:szCs w:val="21"/>
        </w:rPr>
        <w:t>4-香豆酸</w:t>
      </w:r>
      <w:r>
        <w:rPr>
          <w:rFonts w:hint="default" w:ascii="Times New Roman" w:hAnsi="Times New Roman" w:eastAsia="宋体" w:cs="Times New Roman"/>
          <w:sz w:val="21"/>
          <w:szCs w:val="21"/>
        </w:rPr>
        <w:t>对照品适量，精密称定，加</w:t>
      </w:r>
      <w:r>
        <w:rPr>
          <w:rFonts w:hint="default" w:ascii="Times New Roman" w:hAnsi="Times New Roman" w:eastAsia="宋体" w:cs="Times New Roman"/>
          <w:sz w:val="21"/>
          <w:szCs w:val="21"/>
        </w:rPr>
        <w:t>70%乙</w:t>
      </w:r>
      <w:r>
        <w:rPr>
          <w:rFonts w:hint="default" w:ascii="Times New Roman" w:hAnsi="Times New Roman" w:eastAsia="宋体" w:cs="Times New Roman"/>
          <w:sz w:val="21"/>
          <w:szCs w:val="21"/>
        </w:rPr>
        <w:t>醇制成每1ml含</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t>0μg的溶液，即得。</w:t>
      </w:r>
    </w:p>
    <w:p w14:paraId="5160A7E3">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供试品溶液的制备</w:t>
      </w:r>
      <w:r>
        <w:rPr>
          <w:rFonts w:hint="default" w:ascii="Times New Roman" w:hAnsi="Times New Roman" w:eastAsia="宋体" w:cs="Times New Roman"/>
          <w:sz w:val="21"/>
          <w:szCs w:val="21"/>
        </w:rPr>
        <w:t xml:space="preserve"> 取本品适量，研细，取约</w:t>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t>g，精密称定，置具塞锥形瓶中，精密加入</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0%乙醇</w:t>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t>0ml，密塞，称定重量，超声处理（功率600W，频率40kHz）</w:t>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t>0分钟，放冷，再称定重量，用</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0%乙醇补足减失的重量，摇匀，滤过，取续滤液，即得。</w:t>
      </w:r>
    </w:p>
    <w:p w14:paraId="1A09F45A">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default" w:ascii="Times New Roman" w:hAnsi="Times New Roman" w:eastAsia="宋体" w:cs="Times New Roman"/>
          <w:sz w:val="21"/>
          <w:szCs w:val="21"/>
        </w:rPr>
        <w:t xml:space="preserve"> 分别精密吸取对照品溶液与供试品溶液各10μl，注入液相色谱仪，测定，即得。</w:t>
      </w:r>
    </w:p>
    <w:p w14:paraId="7232F7C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本品每1g</w:t>
      </w:r>
      <w:r>
        <w:rPr>
          <w:rFonts w:hint="default" w:ascii="Times New Roman" w:hAnsi="Times New Roman" w:eastAsia="宋体" w:cs="Times New Roman"/>
          <w:sz w:val="21"/>
          <w:szCs w:val="21"/>
        </w:rPr>
        <w:t>含4-香</w:t>
      </w:r>
      <w:r>
        <w:rPr>
          <w:rFonts w:hint="default" w:ascii="Times New Roman" w:hAnsi="Times New Roman" w:eastAsia="宋体" w:cs="Times New Roman"/>
          <w:sz w:val="21"/>
          <w:szCs w:val="21"/>
        </w:rPr>
        <w:t>豆酸</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9</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）应为</w:t>
      </w:r>
      <w:r>
        <w:rPr>
          <w:rFonts w:hint="default" w:ascii="Times New Roman" w:hAnsi="Times New Roman" w:eastAsia="宋体" w:cs="Times New Roman"/>
          <w:sz w:val="21"/>
          <w:szCs w:val="21"/>
        </w:rPr>
        <w:t>0.10</w:t>
      </w:r>
      <w:r>
        <w:rPr>
          <w:rFonts w:hint="default" w:ascii="Times New Roman" w:hAnsi="Times New Roman" w:eastAsia="宋体" w:cs="Times New Roman"/>
          <w:sz w:val="21"/>
          <w:szCs w:val="21"/>
        </w:rPr>
        <w:t>mg~</w:t>
      </w:r>
      <w:r>
        <w:rPr>
          <w:rFonts w:hint="default" w:ascii="Times New Roman" w:hAnsi="Times New Roman" w:eastAsia="宋体" w:cs="Times New Roman"/>
          <w:sz w:val="21"/>
          <w:szCs w:val="21"/>
        </w:rPr>
        <w:t>0.51</w:t>
      </w:r>
      <w:r>
        <w:rPr>
          <w:rFonts w:hint="default" w:ascii="Times New Roman" w:hAnsi="Times New Roman" w:eastAsia="宋体" w:cs="Times New Roman"/>
          <w:sz w:val="21"/>
          <w:szCs w:val="21"/>
        </w:rPr>
        <w:t>mg。</w:t>
      </w:r>
    </w:p>
    <w:p w14:paraId="0E91D550">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【规格】</w:t>
      </w:r>
      <w:r>
        <w:rPr>
          <w:rFonts w:hint="default" w:ascii="Times New Roman" w:hAnsi="Times New Roman" w:eastAsia="宋体" w:cs="Times New Roman"/>
          <w:sz w:val="21"/>
          <w:szCs w:val="21"/>
        </w:rPr>
        <w:t xml:space="preserve"> 每1g配方颗粒相当于饮片</w:t>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t>g</w:t>
      </w:r>
    </w:p>
    <w:p w14:paraId="6BE69A6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【贮藏】</w:t>
      </w:r>
      <w:r>
        <w:rPr>
          <w:rFonts w:hint="default" w:ascii="Times New Roman" w:hAnsi="Times New Roman" w:eastAsia="宋体" w:cs="Times New Roman"/>
          <w:sz w:val="21"/>
          <w:szCs w:val="21"/>
        </w:rPr>
        <w:t xml:space="preserve"> 密封。</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ZmMmNkZWYwMmY2M2MxY2VjOWU3ODQ1ZTNhZDRhNGYifQ=="/>
  </w:docVars>
  <w:rsids>
    <w:rsidRoot w:val="00373C8F"/>
    <w:rsid w:val="00262AD2"/>
    <w:rsid w:val="00373C8F"/>
    <w:rsid w:val="004171B5"/>
    <w:rsid w:val="009321CB"/>
    <w:rsid w:val="02B524D4"/>
    <w:rsid w:val="071C0D73"/>
    <w:rsid w:val="10741C20"/>
    <w:rsid w:val="1D1E737A"/>
    <w:rsid w:val="1ED81720"/>
    <w:rsid w:val="21E57674"/>
    <w:rsid w:val="2A4B359A"/>
    <w:rsid w:val="2BA31534"/>
    <w:rsid w:val="2CDC4BBF"/>
    <w:rsid w:val="2FC11C09"/>
    <w:rsid w:val="39074B30"/>
    <w:rsid w:val="3A777A93"/>
    <w:rsid w:val="41557F45"/>
    <w:rsid w:val="4BD96800"/>
    <w:rsid w:val="4C8A4E48"/>
    <w:rsid w:val="4F111E0D"/>
    <w:rsid w:val="56E524FD"/>
    <w:rsid w:val="57B01ECA"/>
    <w:rsid w:val="586236D9"/>
    <w:rsid w:val="5A85053A"/>
    <w:rsid w:val="5C95407D"/>
    <w:rsid w:val="65A65E86"/>
    <w:rsid w:val="68856A5B"/>
    <w:rsid w:val="68AD274F"/>
    <w:rsid w:val="6D2C3D2B"/>
    <w:rsid w:val="704110DA"/>
    <w:rsid w:val="73E942E0"/>
    <w:rsid w:val="74D3178F"/>
    <w:rsid w:val="751E7998"/>
    <w:rsid w:val="77112A42"/>
    <w:rsid w:val="7BBA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spacing w:line="360" w:lineRule="auto"/>
      <w:ind w:firstLine="560" w:firstLineChars="200"/>
      <w:jc w:val="both"/>
    </w:pPr>
    <w:rPr>
      <w:rFonts w:ascii="Times New Roman" w:hAnsi="Times New Roman" w:eastAsia="宋体" w:cs="Times New Roman"/>
      <w:kern w:val="0"/>
      <w:sz w:val="21"/>
      <w:szCs w:val="21"/>
      <w:lang w:val="en-US" w:eastAsia="zh-CN" w:bidi="ar-SA"/>
    </w:rPr>
  </w:style>
  <w:style w:type="paragraph" w:styleId="2">
    <w:name w:val="heading 1"/>
    <w:basedOn w:val="1"/>
    <w:next w:val="1"/>
    <w:qFormat/>
    <w:uiPriority w:val="9"/>
    <w:pPr>
      <w:tabs>
        <w:tab w:val="left" w:pos="2895"/>
      </w:tabs>
      <w:snapToGrid w:val="0"/>
      <w:jc w:val="center"/>
      <w:outlineLvl w:val="0"/>
    </w:pPr>
    <w:rPr>
      <w:rFonts w:eastAsia="黑体" w:cs="黑体"/>
      <w:bCs/>
      <w:sz w:val="28"/>
      <w:szCs w:val="28"/>
    </w:rPr>
  </w:style>
  <w:style w:type="paragraph" w:styleId="3">
    <w:name w:val="heading 2"/>
    <w:basedOn w:val="1"/>
    <w:next w:val="1"/>
    <w:unhideWhenUsed/>
    <w:qFormat/>
    <w:uiPriority w:val="9"/>
    <w:pPr>
      <w:jc w:val="center"/>
      <w:outlineLvl w:val="1"/>
    </w:pPr>
    <w:rPr>
      <w:bCs/>
      <w:sz w:val="24"/>
      <w:szCs w:val="24"/>
    </w:rPr>
  </w:style>
  <w:style w:type="paragraph" w:styleId="4">
    <w:name w:val="heading 3"/>
    <w:basedOn w:val="1"/>
    <w:next w:val="1"/>
    <w:unhideWhenUsed/>
    <w:qFormat/>
    <w:uiPriority w:val="9"/>
    <w:pPr>
      <w:snapToGrid w:val="0"/>
      <w:ind w:firstLine="0" w:firstLineChars="0"/>
      <w:jc w:val="center"/>
      <w:outlineLvl w:val="2"/>
    </w:pPr>
    <w:rPr>
      <w:b/>
      <w:bCs/>
      <w:color w:val="000000"/>
      <w:sz w:val="24"/>
      <w:szCs w:val="24"/>
    </w:rPr>
  </w:style>
  <w:style w:type="paragraph" w:styleId="5">
    <w:name w:val="heading 4"/>
    <w:basedOn w:val="1"/>
    <w:next w:val="1"/>
    <w:unhideWhenUsed/>
    <w:qFormat/>
    <w:uiPriority w:val="9"/>
    <w:pPr>
      <w:widowControl/>
      <w:ind w:firstLine="0" w:firstLineChars="0"/>
      <w:jc w:val="center"/>
      <w:outlineLvl w:val="3"/>
    </w:pPr>
    <w:rPr>
      <w:rFonts w:ascii="Times New Roman" w:hAnsi="Times New Roman"/>
      <w:color w:val="000000"/>
      <w:sz w:val="18"/>
      <w:szCs w:val="1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3"/>
    <w:semiHidden/>
    <w:unhideWhenUsed/>
    <w:qFormat/>
    <w:uiPriority w:val="99"/>
    <w:pPr>
      <w:spacing w:line="240" w:lineRule="auto"/>
    </w:pPr>
    <w:rPr>
      <w:sz w:val="18"/>
      <w:szCs w:val="18"/>
    </w:rPr>
  </w:style>
  <w:style w:type="paragraph" w:styleId="7">
    <w:name w:val="footer"/>
    <w:basedOn w:val="1"/>
    <w:link w:val="12"/>
    <w:semiHidden/>
    <w:unhideWhenUsed/>
    <w:qFormat/>
    <w:uiPriority w:val="99"/>
    <w:pPr>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8">
    <w:name w:val="header"/>
    <w:basedOn w:val="1"/>
    <w:link w:val="11"/>
    <w:unhideWhenUsed/>
    <w:qFormat/>
    <w:uiPriority w:val="0"/>
    <w:pP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11">
    <w:name w:val="页眉 Char"/>
    <w:basedOn w:val="10"/>
    <w:link w:val="8"/>
    <w:qFormat/>
    <w:uiPriority w:val="0"/>
    <w:rPr>
      <w:rFonts w:asciiTheme="minorHAnsi" w:hAnsiTheme="minorHAnsi" w:eastAsiaTheme="minorEastAsia" w:cstheme="minorBidi"/>
      <w:sz w:val="18"/>
      <w:szCs w:val="18"/>
    </w:rPr>
  </w:style>
  <w:style w:type="character" w:customStyle="1" w:styleId="12">
    <w:name w:val="页脚 Char"/>
    <w:basedOn w:val="10"/>
    <w:link w:val="7"/>
    <w:semiHidden/>
    <w:qFormat/>
    <w:uiPriority w:val="99"/>
    <w:rPr>
      <w:rFonts w:asciiTheme="minorHAnsi" w:hAnsiTheme="minorHAnsi" w:eastAsiaTheme="minorEastAsia" w:cstheme="minorBidi"/>
      <w:sz w:val="18"/>
      <w:szCs w:val="18"/>
    </w:rPr>
  </w:style>
  <w:style w:type="character" w:customStyle="1" w:styleId="13">
    <w:name w:val="批注框文本 Char"/>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1429</Words>
  <Characters>1749</Characters>
  <Lines>12</Lines>
  <Paragraphs>3</Paragraphs>
  <TotalTime>15</TotalTime>
  <ScaleCrop>false</ScaleCrop>
  <LinksUpToDate>false</LinksUpToDate>
  <CharactersWithSpaces>1777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2024-08-12T01:20:00Z</dcterms:created>
  <dc:creator>guxinyue</dc:creator>
  <cp:lastModifiedBy>爱迪生1990</cp:lastModifiedBy>
  <dcterms:modified xsi:type="dcterms:W3CDTF">2024-09-13T10:08:47Z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E84FC848D81D4AAE86B322975AAD97BB_12</vt:lpwstr>
  </property>
</Properties>
</file>